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FD0B" w14:textId="77777777" w:rsidR="00A85907" w:rsidRDefault="009B5091">
      <w:pPr>
        <w:spacing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(Insert School Letterhead here)</w:t>
      </w:r>
    </w:p>
    <w:p w14:paraId="18453656" w14:textId="77777777" w:rsidR="00A85907" w:rsidRDefault="009B5091">
      <w:pPr>
        <w:spacing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(Insert date here)</w:t>
      </w:r>
    </w:p>
    <w:p w14:paraId="32424295" w14:textId="77777777" w:rsidR="00A85907" w:rsidRDefault="009B509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3011097" w14:textId="77777777" w:rsidR="00A85907" w:rsidRDefault="009B509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Dear </w:t>
      </w:r>
      <w:r>
        <w:rPr>
          <w:color w:val="FF0000"/>
          <w:sz w:val="20"/>
          <w:szCs w:val="20"/>
        </w:rPr>
        <w:t>Parent/Guardian</w:t>
      </w:r>
      <w:r>
        <w:rPr>
          <w:sz w:val="20"/>
          <w:szCs w:val="20"/>
        </w:rPr>
        <w:t>:</w:t>
      </w:r>
    </w:p>
    <w:p w14:paraId="4AE64F1D" w14:textId="77777777" w:rsidR="00A85907" w:rsidRDefault="00A85907">
      <w:pPr>
        <w:spacing w:line="240" w:lineRule="auto"/>
        <w:rPr>
          <w:sz w:val="20"/>
          <w:szCs w:val="20"/>
        </w:rPr>
      </w:pPr>
    </w:p>
    <w:p w14:paraId="0075F8B6" w14:textId="76F54968" w:rsidR="00A85907" w:rsidRDefault="009B509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Montana students took the ACT with Writing assessment in mathematics, reading/language arts, and science in the Spring of </w:t>
      </w:r>
      <w:r>
        <w:rPr>
          <w:color w:val="FF0000"/>
          <w:sz w:val="20"/>
          <w:szCs w:val="20"/>
        </w:rPr>
        <w:t>[YEAR]</w:t>
      </w:r>
      <w:r>
        <w:rPr>
          <w:sz w:val="20"/>
          <w:szCs w:val="20"/>
        </w:rPr>
        <w:t>. This assessment is Montana’s measure of student proficiency and progress on the state content standards in Grade 11. These stand</w:t>
      </w:r>
      <w:r>
        <w:rPr>
          <w:sz w:val="20"/>
          <w:szCs w:val="20"/>
        </w:rPr>
        <w:t>ards establish goals for what all Grade 11 students should know and be able to do. This assessment has four multiple-choice tests, as well as the Writing portion, which measures examinees’ writing skills—specifically, those writing skills emphasized in hig</w:t>
      </w:r>
      <w:r>
        <w:rPr>
          <w:sz w:val="20"/>
          <w:szCs w:val="20"/>
        </w:rPr>
        <w:t>h school English classes and in entry-level college composition courses.</w:t>
      </w:r>
    </w:p>
    <w:p w14:paraId="48D3042E" w14:textId="77777777" w:rsidR="00A85907" w:rsidRDefault="00A85907">
      <w:pPr>
        <w:spacing w:line="240" w:lineRule="auto"/>
        <w:rPr>
          <w:sz w:val="20"/>
          <w:szCs w:val="20"/>
        </w:rPr>
      </w:pPr>
    </w:p>
    <w:p w14:paraId="62543D0A" w14:textId="77777777" w:rsidR="00A85907" w:rsidRDefault="009B509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Alongside your child’s score report it is important to consider the learning contexts and experiences during this school year as many students/schools faced unprecedented challenges </w:t>
      </w:r>
      <w:r>
        <w:rPr>
          <w:sz w:val="20"/>
          <w:szCs w:val="20"/>
        </w:rPr>
        <w:t xml:space="preserve">because of the novel coronavirus (COVID-19). Here are a couple of examples of the learning contexts and conditions our school had that may have influenced your child’s results:  </w:t>
      </w:r>
    </w:p>
    <w:p w14:paraId="301A0592" w14:textId="77777777" w:rsidR="00A85907" w:rsidRDefault="00A85907">
      <w:pPr>
        <w:spacing w:line="240" w:lineRule="auto"/>
        <w:ind w:left="720"/>
        <w:rPr>
          <w:color w:val="FF0000"/>
          <w:sz w:val="20"/>
          <w:szCs w:val="20"/>
        </w:rPr>
      </w:pPr>
    </w:p>
    <w:p w14:paraId="71547BC4" w14:textId="77777777" w:rsidR="00A85907" w:rsidRDefault="009B509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This annual assessment provides critical information about student learning, but no single assessment should ever be the sole factor in making an educational decis</w:t>
      </w:r>
      <w:r>
        <w:rPr>
          <w:sz w:val="20"/>
          <w:szCs w:val="20"/>
        </w:rPr>
        <w:t>ion. It is important to remember that assessments provide only one measure of student learning, but when combined with grades, classroom activities, unit quizzes and tests, and district-level assessments, the end-of-year assessments can help provide a comp</w:t>
      </w:r>
      <w:r>
        <w:rPr>
          <w:sz w:val="20"/>
          <w:szCs w:val="20"/>
        </w:rPr>
        <w:t>lete picture of your child’s abilities over the course of the school year and path toward academic success on these content standards.</w:t>
      </w:r>
    </w:p>
    <w:p w14:paraId="511D0437" w14:textId="77777777" w:rsidR="00A85907" w:rsidRDefault="00A85907">
      <w:pPr>
        <w:spacing w:line="240" w:lineRule="auto"/>
        <w:rPr>
          <w:sz w:val="20"/>
          <w:szCs w:val="20"/>
        </w:rPr>
      </w:pPr>
    </w:p>
    <w:p w14:paraId="61378F1D" w14:textId="77777777" w:rsidR="00A85907" w:rsidRDefault="009B509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For help interpreting your child’s report, please visit the</w:t>
      </w:r>
      <w:hyperlink r:id="rId5">
        <w:r>
          <w:rPr>
            <w:sz w:val="20"/>
            <w:szCs w:val="20"/>
          </w:rPr>
          <w:t xml:space="preserve"> </w:t>
        </w:r>
      </w:hyperlink>
      <w:hyperlink r:id="rId6">
        <w:r>
          <w:rPr>
            <w:color w:val="1155CC"/>
            <w:sz w:val="20"/>
            <w:szCs w:val="20"/>
            <w:u w:val="single"/>
          </w:rPr>
          <w:t>Understanding Your ACT Scores</w:t>
        </w:r>
      </w:hyperlink>
      <w:r>
        <w:rPr>
          <w:sz w:val="20"/>
          <w:szCs w:val="20"/>
        </w:rPr>
        <w:t xml:space="preserve"> website designed for parents/families to under</w:t>
      </w:r>
      <w:r>
        <w:rPr>
          <w:sz w:val="20"/>
          <w:szCs w:val="20"/>
        </w:rPr>
        <w:t>stand the assessment results. Here are some highlights for this student report:</w:t>
      </w:r>
    </w:p>
    <w:p w14:paraId="2B7A4346" w14:textId="77777777" w:rsidR="00A85907" w:rsidRDefault="00A85907">
      <w:pPr>
        <w:spacing w:line="240" w:lineRule="auto"/>
        <w:rPr>
          <w:sz w:val="20"/>
          <w:szCs w:val="20"/>
        </w:rPr>
      </w:pPr>
    </w:p>
    <w:p w14:paraId="0C7391F3" w14:textId="77777777" w:rsidR="00A85907" w:rsidRDefault="009B5091">
      <w:pPr>
        <w:numPr>
          <w:ilvl w:val="0"/>
          <w:numId w:val="1"/>
        </w:numPr>
        <w:spacing w:line="240" w:lineRule="auto"/>
      </w:pPr>
      <w:r>
        <w:rPr>
          <w:sz w:val="20"/>
          <w:szCs w:val="20"/>
        </w:rPr>
        <w:t>Students receive separate scale scores for math, reading, English, and science. These four scores are averaged to produce the Composite Score.</w:t>
      </w:r>
    </w:p>
    <w:p w14:paraId="48B2CFA0" w14:textId="77777777" w:rsidR="00A85907" w:rsidRDefault="009B5091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Students’ overall performance on</w:t>
      </w:r>
      <w:r>
        <w:rPr>
          <w:sz w:val="20"/>
          <w:szCs w:val="20"/>
        </w:rPr>
        <w:t xml:space="preserve"> the English, reading, and writing tests produce the English language arts (ELA) score. </w:t>
      </w:r>
    </w:p>
    <w:p w14:paraId="0ED3F762" w14:textId="77777777" w:rsidR="00A85907" w:rsidRDefault="009B5091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Students receive a scale score for Writing, which is derived from the average scores on four writing domain scores; and a STEM score derived from the average of the ma</w:t>
      </w:r>
      <w:r>
        <w:rPr>
          <w:sz w:val="20"/>
          <w:szCs w:val="20"/>
        </w:rPr>
        <w:t>th and science scores.</w:t>
      </w:r>
    </w:p>
    <w:p w14:paraId="74C61E4D" w14:textId="77777777" w:rsidR="00A85907" w:rsidRDefault="00A85907">
      <w:pPr>
        <w:spacing w:line="240" w:lineRule="auto"/>
        <w:ind w:left="860" w:hanging="420"/>
        <w:rPr>
          <w:sz w:val="20"/>
          <w:szCs w:val="20"/>
        </w:rPr>
      </w:pPr>
    </w:p>
    <w:tbl>
      <w:tblPr>
        <w:tblStyle w:val="a"/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1095"/>
        <w:gridCol w:w="4845"/>
      </w:tblGrid>
      <w:tr w:rsidR="00A85907" w14:paraId="69562C52" w14:textId="77777777" w:rsidTr="009B5091">
        <w:trPr>
          <w:trHeight w:val="410"/>
        </w:trPr>
        <w:tc>
          <w:tcPr>
            <w:tcW w:w="891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5568C" w14:textId="77777777" w:rsidR="00A85907" w:rsidRDefault="009B509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performance is reported by performance levels, that is, Level 1 through 4.</w:t>
            </w:r>
          </w:p>
        </w:tc>
      </w:tr>
      <w:tr w:rsidR="00A85907" w14:paraId="172BA03D" w14:textId="77777777" w:rsidTr="009B5091">
        <w:trPr>
          <w:trHeight w:val="630"/>
        </w:trPr>
        <w:tc>
          <w:tcPr>
            <w:tcW w:w="29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F428C" w14:textId="77777777" w:rsidR="00A85907" w:rsidRDefault="009B509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who score a Level 3 or 4 are considered as performing at or above proficient on these standards.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8B8E5" w14:textId="77777777" w:rsidR="00A85907" w:rsidRDefault="009B509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 4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A0055" w14:textId="77777777" w:rsidR="00A85907" w:rsidRDefault="009B509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demonstrates advanced progress needed for success in future coursework.</w:t>
            </w:r>
          </w:p>
        </w:tc>
      </w:tr>
      <w:tr w:rsidR="00A85907" w14:paraId="51593ADA" w14:textId="77777777" w:rsidTr="009B5091">
        <w:trPr>
          <w:trHeight w:val="567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EF216" w14:textId="77777777" w:rsidR="00A85907" w:rsidRDefault="00A85907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A4374" w14:textId="77777777" w:rsidR="00A85907" w:rsidRDefault="009B509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 3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AB6F2" w14:textId="77777777" w:rsidR="00A85907" w:rsidRDefault="009B509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demonstrates progress needed for success in future coursework.</w:t>
            </w:r>
          </w:p>
        </w:tc>
      </w:tr>
      <w:tr w:rsidR="00A85907" w14:paraId="6E3CDFCD" w14:textId="77777777" w:rsidTr="009B5091">
        <w:trPr>
          <w:trHeight w:val="597"/>
        </w:trPr>
        <w:tc>
          <w:tcPr>
            <w:tcW w:w="29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3AE56" w14:textId="77777777" w:rsidR="00A85907" w:rsidRDefault="009B509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who score a Level 1 or 2 are not considered as proficient on these standards.</w:t>
            </w:r>
          </w:p>
          <w:p w14:paraId="44B3FDB9" w14:textId="77777777" w:rsidR="00A85907" w:rsidRDefault="009B509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96BF0" w14:textId="77777777" w:rsidR="00A85907" w:rsidRDefault="009B509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 2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EA5D7" w14:textId="77777777" w:rsidR="00A85907" w:rsidRDefault="009B509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requires further development to meet proficiency.</w:t>
            </w:r>
          </w:p>
        </w:tc>
      </w:tr>
      <w:tr w:rsidR="00A85907" w14:paraId="7D2EEE19" w14:textId="77777777" w:rsidTr="009B5091">
        <w:trPr>
          <w:trHeight w:val="612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2AC3E" w14:textId="77777777" w:rsidR="00A85907" w:rsidRDefault="00A85907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6883C" w14:textId="77777777" w:rsidR="00A85907" w:rsidRDefault="009B509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 1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54B19" w14:textId="77777777" w:rsidR="00A85907" w:rsidRDefault="009B509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needs substantial improvement to meet proficiency.</w:t>
            </w:r>
          </w:p>
        </w:tc>
      </w:tr>
    </w:tbl>
    <w:p w14:paraId="0C712421" w14:textId="77777777" w:rsidR="00A85907" w:rsidRDefault="009B509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B83C0F4" w14:textId="77777777" w:rsidR="00A85907" w:rsidRDefault="009B5091">
      <w:pPr>
        <w:spacing w:line="240" w:lineRule="auto"/>
        <w:rPr>
          <w:color w:val="486CD0"/>
          <w:sz w:val="20"/>
          <w:szCs w:val="20"/>
          <w:u w:val="single"/>
        </w:rPr>
      </w:pPr>
      <w:r>
        <w:rPr>
          <w:sz w:val="20"/>
          <w:szCs w:val="20"/>
        </w:rPr>
        <w:t>To see how our school is performing over time and compared to other schools in Montana, visit the state’s longitudinal data warehouse (GEMS) at</w:t>
      </w:r>
      <w:hyperlink r:id="rId7">
        <w:r>
          <w:rPr>
            <w:sz w:val="20"/>
            <w:szCs w:val="20"/>
          </w:rPr>
          <w:t xml:space="preserve"> </w:t>
        </w:r>
      </w:hyperlink>
      <w:hyperlink r:id="rId8">
        <w:r>
          <w:rPr>
            <w:color w:val="486CD0"/>
            <w:sz w:val="20"/>
            <w:szCs w:val="20"/>
            <w:u w:val="single"/>
          </w:rPr>
          <w:t>gems.opi.mt.gov.</w:t>
        </w:r>
      </w:hyperlink>
    </w:p>
    <w:p w14:paraId="388E4EF8" w14:textId="77777777" w:rsidR="00A85907" w:rsidRDefault="00A85907">
      <w:pPr>
        <w:spacing w:line="240" w:lineRule="auto"/>
        <w:rPr>
          <w:color w:val="486CD0"/>
          <w:sz w:val="20"/>
          <w:szCs w:val="20"/>
          <w:u w:val="single"/>
        </w:rPr>
      </w:pPr>
    </w:p>
    <w:p w14:paraId="46786386" w14:textId="77777777" w:rsidR="00A85907" w:rsidRDefault="009B5091">
      <w:pPr>
        <w:spacing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(Insert School Signature here)</w:t>
      </w:r>
    </w:p>
    <w:p w14:paraId="138EE6F2" w14:textId="77777777" w:rsidR="00A85907" w:rsidRDefault="009B5091">
      <w:pPr>
        <w:spacing w:line="240" w:lineRule="auto"/>
      </w:pPr>
      <w:r>
        <w:rPr>
          <w:color w:val="FF0000"/>
          <w:sz w:val="20"/>
          <w:szCs w:val="20"/>
        </w:rPr>
        <w:t>(Insert School contact information here)</w:t>
      </w:r>
    </w:p>
    <w:sectPr w:rsidR="00A85907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83FB3"/>
    <w:multiLevelType w:val="multilevel"/>
    <w:tmpl w:val="E9D06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E665FDD"/>
    <w:multiLevelType w:val="multilevel"/>
    <w:tmpl w:val="D528EC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22491615">
    <w:abstractNumId w:val="1"/>
  </w:num>
  <w:num w:numId="2" w16cid:durableId="916016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07"/>
    <w:rsid w:val="009B5091"/>
    <w:rsid w:val="00A8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ECF39"/>
  <w15:docId w15:val="{5385AC97-4EEB-4BD1-926E-DE86B3F0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ms.opi.mt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ms.opi.mt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t.org/content/act/en/products-and-services/the-act/scores/understanding-your-scores.html" TargetMode="External"/><Relationship Id="rId5" Type="http://schemas.openxmlformats.org/officeDocument/2006/relationships/hyperlink" Target="https://mt.startingsmarter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Fortner, Marcy</dc:creator>
  <cp:lastModifiedBy>Fortner, Marcy</cp:lastModifiedBy>
  <cp:revision>2</cp:revision>
  <dcterms:created xsi:type="dcterms:W3CDTF">2023-07-26T17:28:00Z</dcterms:created>
  <dcterms:modified xsi:type="dcterms:W3CDTF">2023-07-26T17:28:00Z</dcterms:modified>
</cp:coreProperties>
</file>